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Coastal Critical Zone Summer Undergraduate Internship</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u w:val="single"/>
          <w:rtl w:val="0"/>
        </w:rPr>
        <w:t xml:space="preserve">Dates of internship</w:t>
      </w:r>
      <w:r w:rsidDel="00000000" w:rsidR="00000000" w:rsidRPr="00000000">
        <w:rPr>
          <w:rtl w:val="0"/>
        </w:rPr>
        <w:t xml:space="preserve">: June 9 – August 15, 2025</w:t>
      </w:r>
    </w:p>
    <w:p w:rsidR="00000000" w:rsidDel="00000000" w:rsidP="00000000" w:rsidRDefault="00000000" w:rsidRPr="00000000" w14:paraId="00000004">
      <w:pPr>
        <w:spacing w:line="276" w:lineRule="auto"/>
        <w:rPr/>
      </w:pPr>
      <w:r w:rsidDel="00000000" w:rsidR="00000000" w:rsidRPr="00000000">
        <w:rPr>
          <w:u w:val="single"/>
          <w:rtl w:val="0"/>
        </w:rPr>
        <w:t xml:space="preserve">Location</w:t>
      </w:r>
      <w:r w:rsidDel="00000000" w:rsidR="00000000" w:rsidRPr="00000000">
        <w:rPr>
          <w:rtl w:val="0"/>
        </w:rPr>
        <w:t xml:space="preserve">: Gedan Lab, George Washington University, 800 22nd St. NW, Washington, DC 20052</w:t>
      </w:r>
    </w:p>
    <w:p w:rsidR="00000000" w:rsidDel="00000000" w:rsidP="00000000" w:rsidRDefault="00000000" w:rsidRPr="00000000" w14:paraId="00000005">
      <w:pPr>
        <w:spacing w:line="276" w:lineRule="auto"/>
        <w:rPr/>
      </w:pPr>
      <w:r w:rsidDel="00000000" w:rsidR="00000000" w:rsidRPr="00000000">
        <w:rPr>
          <w:u w:val="single"/>
          <w:rtl w:val="0"/>
        </w:rPr>
        <w:t xml:space="preserve">Number of positions available</w:t>
      </w:r>
      <w:r w:rsidDel="00000000" w:rsidR="00000000" w:rsidRPr="00000000">
        <w:rPr>
          <w:rtl w:val="0"/>
        </w:rPr>
        <w:t xml:space="preserve">: 2</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u w:val="single"/>
          <w:rtl w:val="0"/>
        </w:rPr>
        <w:t xml:space="preserve">Faculty Mentor</w:t>
      </w:r>
      <w:r w:rsidDel="00000000" w:rsidR="00000000" w:rsidRPr="00000000">
        <w:rPr>
          <w:rtl w:val="0"/>
        </w:rPr>
        <w:t xml:space="preserve">: Keryn Gedan, kgedan@gwu.edu</w:t>
      </w:r>
    </w:p>
    <w:p w:rsidR="00000000" w:rsidDel="00000000" w:rsidP="00000000" w:rsidRDefault="00000000" w:rsidRPr="00000000" w14:paraId="00000008">
      <w:pPr>
        <w:spacing w:line="276" w:lineRule="auto"/>
        <w:rPr/>
      </w:pPr>
      <w:r w:rsidDel="00000000" w:rsidR="00000000" w:rsidRPr="00000000">
        <w:rPr>
          <w:u w:val="single"/>
          <w:rtl w:val="0"/>
        </w:rPr>
        <w:t xml:space="preserve">Graduate Student Mentor</w:t>
      </w:r>
      <w:r w:rsidDel="00000000" w:rsidR="00000000" w:rsidRPr="00000000">
        <w:rPr>
          <w:rtl w:val="0"/>
        </w:rPr>
        <w:t xml:space="preserve">: Juan Martinez, juan.martinez@gwmail.gwu.edu</w:t>
      </w:r>
    </w:p>
    <w:p w:rsidR="00000000" w:rsidDel="00000000" w:rsidP="00000000" w:rsidRDefault="00000000" w:rsidRPr="00000000" w14:paraId="00000009">
      <w:pPr>
        <w:spacing w:line="276" w:lineRule="auto"/>
        <w:rPr/>
      </w:pPr>
      <w:r w:rsidDel="00000000" w:rsidR="00000000" w:rsidRPr="00000000">
        <w:rPr>
          <w:u w:val="single"/>
          <w:rtl w:val="0"/>
        </w:rPr>
        <w:t xml:space="preserve">Professional Staff Mentor</w:t>
      </w:r>
      <w:r w:rsidDel="00000000" w:rsidR="00000000" w:rsidRPr="00000000">
        <w:rPr>
          <w:rtl w:val="0"/>
        </w:rPr>
        <w:t xml:space="preserve">: Jane Callaghan, j.callaghan@gwu.edu</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Overview:</w:t>
      </w:r>
      <w:r w:rsidDel="00000000" w:rsidR="00000000" w:rsidRPr="00000000">
        <w:rPr>
          <w:rtl w:val="0"/>
        </w:rPr>
        <w:t xml:space="preserve"> The Coastal Critical Zone Network is an interdisciplinary team project researching the effects of changing climate and sea level rise on the Delmarva Peninsula, which includes Delaware and parts of Maryland and Virginia. The project is funded by the National Science Foundation, a prestigious, taxpayer-supported federal science agency. The Critical Zone team is inviting applications for paid undergraduate research internships for summer 2025; interns will be part of sub-teams in hydrology, biogeochemistry or ecology research. Research will involve mostly outdoor field work and/or lab and computational efforts. We seek a diverse group of undergraduate students to join our team in a welcoming, collaborative environment.</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Project Title: </w:t>
      </w:r>
      <w:r w:rsidDel="00000000" w:rsidR="00000000" w:rsidRPr="00000000">
        <w:rPr>
          <w:rtl w:val="0"/>
        </w:rPr>
        <w:t xml:space="preserve">Seed banks of transitioning forests</w:t>
      </w:r>
    </w:p>
    <w:p w:rsidR="00000000" w:rsidDel="00000000" w:rsidP="00000000" w:rsidRDefault="00000000" w:rsidRPr="00000000" w14:paraId="0000000E">
      <w:pPr>
        <w:rPr/>
      </w:pPr>
      <w:r w:rsidDel="00000000" w:rsidR="00000000" w:rsidRPr="00000000">
        <w:rPr>
          <w:b w:val="1"/>
          <w:rtl w:val="0"/>
        </w:rPr>
        <w:t xml:space="preserve">Project Sub-team: </w:t>
      </w:r>
      <w:r w:rsidDel="00000000" w:rsidR="00000000" w:rsidRPr="00000000">
        <w:rPr>
          <w:rtl w:val="0"/>
        </w:rPr>
        <w:t xml:space="preserve">Ecology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Research Description: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As trees succumb to salinity stress, light reaches the forest floor, understory species and soil seed banks spring to life, and the understory community of plant species changes. In a new, large-scale forest disturbance experiment, we have girdled trees in forest plots to mimic the canopy opening of ghost forest formation, in plots spanning a coastal salinity gradient. In summer 2025, we will study the physiology of these dying trees and the ecological changes and water cycling occurring in the forest understory as a result. We will embed small scale experiments within the large forest plots and conduct greenhouse studies to isolate plant responses to changing environmental conditions.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Gedan Lab at George Washington University (GWU) is studying ecological change at the forest boundary due to saltwater exposure. We use tools from community ecology, forestry, and plant physiology to investigate changes at the organismal, population, and community scale in coastal forest, forest-marsh transition, and salt marsh that are due to sea level rise, saltwater intrusion, and saltwater flooding associated with storms and high tides.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Student Learning Objectives:  Professional and Research Skills</w:t>
      </w:r>
    </w:p>
    <w:p w:rsidR="00000000" w:rsidDel="00000000" w:rsidP="00000000" w:rsidRDefault="00000000" w:rsidRPr="00000000" w14:paraId="0000001D">
      <w:pPr>
        <w:spacing w:line="276" w:lineRule="auto"/>
        <w:rPr/>
      </w:pPr>
      <w:r w:rsidDel="00000000" w:rsidR="00000000" w:rsidRPr="00000000">
        <w:rPr>
          <w:rtl w:val="0"/>
        </w:rPr>
        <w:t xml:space="preserve">This internship focuses on the development of the following professional and scientific skills.</w:t>
      </w:r>
    </w:p>
    <w:tbl>
      <w:tblPr>
        <w:tblStyle w:val="Table1"/>
        <w:tblW w:w="9530.0" w:type="dxa"/>
        <w:jc w:val="left"/>
        <w:tblBorders>
          <w:top w:color="7295d2" w:space="0" w:sz="8" w:val="single"/>
          <w:left w:color="7295d2" w:space="0" w:sz="8" w:val="single"/>
          <w:bottom w:color="7295d2" w:space="0" w:sz="8" w:val="single"/>
          <w:right w:color="7295d2" w:space="0" w:sz="8" w:val="single"/>
          <w:insideH w:color="7295d2" w:space="0" w:sz="8" w:val="single"/>
        </w:tblBorders>
        <w:tblLayout w:type="fixed"/>
        <w:tblLook w:val="04A0"/>
      </w:tblPr>
      <w:tblGrid>
        <w:gridCol w:w="4040"/>
        <w:gridCol w:w="5490"/>
        <w:tblGridChange w:id="0">
          <w:tblGrid>
            <w:gridCol w:w="4040"/>
            <w:gridCol w:w="5490"/>
          </w:tblGrid>
        </w:tblGridChange>
      </w:tblGrid>
      <w:tr>
        <w:trPr>
          <w:cantSplit w:val="0"/>
          <w:trHeight w:val="151" w:hRule="atLeast"/>
          <w:tblHeader w:val="0"/>
        </w:trPr>
        <w:tc>
          <w:tcPr>
            <w:vAlign w:val="center"/>
          </w:tcPr>
          <w:p w:rsidR="00000000" w:rsidDel="00000000" w:rsidP="00000000" w:rsidRDefault="00000000" w:rsidRPr="00000000" w14:paraId="0000001E">
            <w:pPr>
              <w:keepNext w:val="1"/>
              <w:spacing w:line="276" w:lineRule="auto"/>
              <w:jc w:val="center"/>
              <w:rPr>
                <w:sz w:val="20"/>
                <w:szCs w:val="20"/>
              </w:rPr>
            </w:pPr>
            <w:r w:rsidDel="00000000" w:rsidR="00000000" w:rsidRPr="00000000">
              <w:rPr>
                <w:sz w:val="20"/>
                <w:szCs w:val="20"/>
                <w:rtl w:val="0"/>
              </w:rPr>
              <w:t xml:space="preserve">Broad Professional Skills</w:t>
            </w:r>
          </w:p>
        </w:tc>
        <w:tc>
          <w:tcPr/>
          <w:p w:rsidR="00000000" w:rsidDel="00000000" w:rsidP="00000000" w:rsidRDefault="00000000" w:rsidRPr="00000000" w14:paraId="0000001F">
            <w:pPr>
              <w:keepNext w:val="1"/>
              <w:spacing w:line="276" w:lineRule="auto"/>
              <w:jc w:val="center"/>
              <w:rPr>
                <w:sz w:val="20"/>
                <w:szCs w:val="20"/>
              </w:rPr>
            </w:pPr>
            <w:r w:rsidDel="00000000" w:rsidR="00000000" w:rsidRPr="00000000">
              <w:rPr>
                <w:sz w:val="20"/>
                <w:szCs w:val="20"/>
                <w:rtl w:val="0"/>
              </w:rPr>
              <w:t xml:space="preserve">Specific Skills</w:t>
            </w:r>
          </w:p>
        </w:tc>
      </w:tr>
      <w:tr>
        <w:trPr>
          <w:cantSplit w:val="0"/>
          <w:trHeight w:val="322" w:hRule="atLeast"/>
          <w:tblHeader w:val="0"/>
        </w:trPr>
        <w:tc>
          <w:tcPr/>
          <w:p w:rsidR="00000000" w:rsidDel="00000000" w:rsidP="00000000" w:rsidRDefault="00000000" w:rsidRPr="00000000" w14:paraId="00000020">
            <w:pPr>
              <w:keepNext w:val="1"/>
              <w:spacing w:line="276" w:lineRule="auto"/>
              <w:rPr>
                <w:b w:val="0"/>
                <w:sz w:val="20"/>
                <w:szCs w:val="20"/>
              </w:rPr>
            </w:pPr>
            <w:r w:rsidDel="00000000" w:rsidR="00000000" w:rsidRPr="00000000">
              <w:rPr>
                <w:b w:val="0"/>
                <w:sz w:val="20"/>
                <w:szCs w:val="20"/>
                <w:rtl w:val="0"/>
              </w:rPr>
              <w:t xml:space="preserve">Planning and time management</w:t>
            </w:r>
          </w:p>
        </w:tc>
        <w:tc>
          <w:tcPr/>
          <w:p w:rsidR="00000000" w:rsidDel="00000000" w:rsidP="00000000" w:rsidRDefault="00000000" w:rsidRPr="00000000" w14:paraId="00000021">
            <w:pPr>
              <w:keepNext w:val="1"/>
              <w:spacing w:line="276" w:lineRule="auto"/>
              <w:rPr>
                <w:sz w:val="20"/>
                <w:szCs w:val="20"/>
              </w:rPr>
            </w:pPr>
            <w:r w:rsidDel="00000000" w:rsidR="00000000" w:rsidRPr="00000000">
              <w:rPr>
                <w:sz w:val="20"/>
                <w:szCs w:val="20"/>
                <w:rtl w:val="0"/>
              </w:rPr>
              <w:t xml:space="preserve">Ability to set and complete specific goals of varying scope</w:t>
            </w:r>
          </w:p>
        </w:tc>
      </w:tr>
      <w:tr>
        <w:trPr>
          <w:cantSplit w:val="0"/>
          <w:trHeight w:val="50" w:hRule="atLeast"/>
          <w:tblHeader w:val="0"/>
        </w:trPr>
        <w:tc>
          <w:tcPr/>
          <w:p w:rsidR="00000000" w:rsidDel="00000000" w:rsidP="00000000" w:rsidRDefault="00000000" w:rsidRPr="00000000" w14:paraId="00000022">
            <w:pPr>
              <w:keepNext w:val="1"/>
              <w:spacing w:line="276" w:lineRule="auto"/>
              <w:rPr>
                <w:b w:val="0"/>
                <w:sz w:val="20"/>
                <w:szCs w:val="20"/>
              </w:rPr>
            </w:pPr>
            <w:r w:rsidDel="00000000" w:rsidR="00000000" w:rsidRPr="00000000">
              <w:rPr>
                <w:b w:val="0"/>
                <w:sz w:val="20"/>
                <w:szCs w:val="20"/>
                <w:rtl w:val="0"/>
              </w:rPr>
              <w:t xml:space="preserve">Work independently</w:t>
            </w:r>
          </w:p>
        </w:tc>
        <w:tc>
          <w:tcPr/>
          <w:p w:rsidR="00000000" w:rsidDel="00000000" w:rsidP="00000000" w:rsidRDefault="00000000" w:rsidRPr="00000000" w14:paraId="00000023">
            <w:pPr>
              <w:keepNext w:val="1"/>
              <w:spacing w:line="276" w:lineRule="auto"/>
              <w:rPr>
                <w:sz w:val="20"/>
                <w:szCs w:val="20"/>
              </w:rPr>
            </w:pPr>
            <w:r w:rsidDel="00000000" w:rsidR="00000000" w:rsidRPr="00000000">
              <w:rPr>
                <w:sz w:val="20"/>
                <w:szCs w:val="20"/>
                <w:rtl w:val="0"/>
              </w:rPr>
              <w:t xml:space="preserve">Independent work ethic - work independently to problem-solve</w:t>
            </w:r>
          </w:p>
        </w:tc>
      </w:tr>
      <w:tr>
        <w:trPr>
          <w:cantSplit w:val="0"/>
          <w:trHeight w:val="50" w:hRule="atLeast"/>
          <w:tblHeader w:val="0"/>
        </w:trPr>
        <w:tc>
          <w:tcPr/>
          <w:p w:rsidR="00000000" w:rsidDel="00000000" w:rsidP="00000000" w:rsidRDefault="00000000" w:rsidRPr="00000000" w14:paraId="00000024">
            <w:pPr>
              <w:keepNext w:val="1"/>
              <w:spacing w:line="276" w:lineRule="auto"/>
              <w:rPr>
                <w:b w:val="0"/>
                <w:sz w:val="20"/>
                <w:szCs w:val="20"/>
              </w:rPr>
            </w:pPr>
            <w:r w:rsidDel="00000000" w:rsidR="00000000" w:rsidRPr="00000000">
              <w:rPr>
                <w:b w:val="0"/>
                <w:sz w:val="20"/>
                <w:szCs w:val="20"/>
                <w:rtl w:val="0"/>
              </w:rPr>
              <w:t xml:space="preserve">Collaborative skills</w:t>
            </w:r>
          </w:p>
        </w:tc>
        <w:tc>
          <w:tcPr/>
          <w:p w:rsidR="00000000" w:rsidDel="00000000" w:rsidP="00000000" w:rsidRDefault="00000000" w:rsidRPr="00000000" w14:paraId="00000025">
            <w:pPr>
              <w:keepNext w:val="1"/>
              <w:spacing w:line="276" w:lineRule="auto"/>
              <w:rPr>
                <w:sz w:val="20"/>
                <w:szCs w:val="20"/>
              </w:rPr>
            </w:pPr>
            <w:r w:rsidDel="00000000" w:rsidR="00000000" w:rsidRPr="00000000">
              <w:rPr>
                <w:sz w:val="20"/>
                <w:szCs w:val="20"/>
                <w:rtl w:val="0"/>
              </w:rPr>
              <w:t xml:space="preserve">Learning to complete tasks efficiently and effectively with others</w:t>
            </w:r>
          </w:p>
        </w:tc>
      </w:tr>
      <w:tr>
        <w:trPr>
          <w:cantSplit w:val="0"/>
          <w:trHeight w:val="393" w:hRule="atLeast"/>
          <w:tblHeader w:val="0"/>
        </w:trPr>
        <w:tc>
          <w:tcPr/>
          <w:p w:rsidR="00000000" w:rsidDel="00000000" w:rsidP="00000000" w:rsidRDefault="00000000" w:rsidRPr="00000000" w14:paraId="00000026">
            <w:pPr>
              <w:keepNext w:val="1"/>
              <w:spacing w:line="276" w:lineRule="auto"/>
              <w:rPr>
                <w:b w:val="0"/>
                <w:sz w:val="20"/>
                <w:szCs w:val="20"/>
              </w:rPr>
            </w:pPr>
            <w:r w:rsidDel="00000000" w:rsidR="00000000" w:rsidRPr="00000000">
              <w:rPr>
                <w:b w:val="0"/>
                <w:sz w:val="20"/>
                <w:szCs w:val="20"/>
                <w:rtl w:val="0"/>
              </w:rPr>
              <w:t xml:space="preserve">Express ideas in writing and verbally</w:t>
            </w:r>
          </w:p>
        </w:tc>
        <w:tc>
          <w:tcPr/>
          <w:p w:rsidR="00000000" w:rsidDel="00000000" w:rsidP="00000000" w:rsidRDefault="00000000" w:rsidRPr="00000000" w14:paraId="00000027">
            <w:pPr>
              <w:keepNext w:val="1"/>
              <w:spacing w:line="276" w:lineRule="auto"/>
              <w:rPr>
                <w:sz w:val="20"/>
                <w:szCs w:val="20"/>
              </w:rPr>
            </w:pPr>
            <w:r w:rsidDel="00000000" w:rsidR="00000000" w:rsidRPr="00000000">
              <w:rPr>
                <w:sz w:val="20"/>
                <w:szCs w:val="20"/>
                <w:rtl w:val="0"/>
              </w:rPr>
              <w:t xml:space="preserve">Communicate with diverse audiences - Development of impactful poster and oral presentations. Honing ability to deliver scientific results/impacts to people of multidisciplinary backgrounds.</w:t>
            </w:r>
          </w:p>
        </w:tc>
      </w:tr>
      <w:tr>
        <w:trPr>
          <w:cantSplit w:val="0"/>
          <w:trHeight w:val="275" w:hRule="atLeast"/>
          <w:tblHeader w:val="0"/>
        </w:trPr>
        <w:tc>
          <w:tcPr>
            <w:shd w:fill="0070c0" w:val="clear"/>
            <w:vAlign w:val="center"/>
          </w:tcPr>
          <w:p w:rsidR="00000000" w:rsidDel="00000000" w:rsidP="00000000" w:rsidRDefault="00000000" w:rsidRPr="00000000" w14:paraId="00000028">
            <w:pPr>
              <w:keepNext w:val="1"/>
              <w:spacing w:line="276" w:lineRule="auto"/>
              <w:jc w:val="center"/>
              <w:rPr>
                <w:color w:val="ffffff"/>
                <w:sz w:val="20"/>
                <w:szCs w:val="20"/>
              </w:rPr>
            </w:pPr>
            <w:r w:rsidDel="00000000" w:rsidR="00000000" w:rsidRPr="00000000">
              <w:rPr>
                <w:color w:val="ffffff"/>
                <w:sz w:val="20"/>
                <w:szCs w:val="20"/>
                <w:rtl w:val="0"/>
              </w:rPr>
              <w:t xml:space="preserve">Broad Scientific Research Skills</w:t>
            </w:r>
          </w:p>
        </w:tc>
        <w:tc>
          <w:tcPr>
            <w:shd w:fill="0070c0" w:val="clear"/>
          </w:tcPr>
          <w:p w:rsidR="00000000" w:rsidDel="00000000" w:rsidP="00000000" w:rsidRDefault="00000000" w:rsidRPr="00000000" w14:paraId="00000029">
            <w:pPr>
              <w:keepNext w:val="1"/>
              <w:spacing w:line="276" w:lineRule="auto"/>
              <w:jc w:val="center"/>
              <w:rPr>
                <w:b w:val="1"/>
                <w:color w:val="ffffff"/>
                <w:sz w:val="20"/>
                <w:szCs w:val="20"/>
              </w:rPr>
            </w:pPr>
            <w:r w:rsidDel="00000000" w:rsidR="00000000" w:rsidRPr="00000000">
              <w:rPr>
                <w:b w:val="1"/>
                <w:color w:val="ffffff"/>
                <w:sz w:val="20"/>
                <w:szCs w:val="20"/>
                <w:rtl w:val="0"/>
              </w:rPr>
              <w:t xml:space="preserve">Specific Skills</w:t>
            </w:r>
          </w:p>
        </w:tc>
      </w:tr>
      <w:tr>
        <w:trPr>
          <w:cantSplit w:val="0"/>
          <w:trHeight w:val="50" w:hRule="atLeast"/>
          <w:tblHeader w:val="0"/>
        </w:trPr>
        <w:tc>
          <w:tcPr/>
          <w:p w:rsidR="00000000" w:rsidDel="00000000" w:rsidP="00000000" w:rsidRDefault="00000000" w:rsidRPr="00000000" w14:paraId="0000002A">
            <w:pPr>
              <w:spacing w:line="276" w:lineRule="auto"/>
              <w:rPr>
                <w:b w:val="0"/>
                <w:sz w:val="20"/>
                <w:szCs w:val="20"/>
              </w:rPr>
            </w:pPr>
            <w:r w:rsidDel="00000000" w:rsidR="00000000" w:rsidRPr="00000000">
              <w:rPr>
                <w:b w:val="0"/>
                <w:sz w:val="20"/>
                <w:szCs w:val="20"/>
                <w:rtl w:val="0"/>
              </w:rPr>
              <w:t xml:space="preserve">Understand relationships between levels of biological organization </w:t>
            </w:r>
          </w:p>
        </w:tc>
        <w:tc>
          <w:tcPr/>
          <w:p w:rsidR="00000000" w:rsidDel="00000000" w:rsidP="00000000" w:rsidRDefault="00000000" w:rsidRPr="00000000" w14:paraId="0000002B">
            <w:pPr>
              <w:spacing w:line="276" w:lineRule="auto"/>
              <w:rPr>
                <w:sz w:val="20"/>
                <w:szCs w:val="20"/>
              </w:rPr>
            </w:pPr>
            <w:r w:rsidDel="00000000" w:rsidR="00000000" w:rsidRPr="00000000">
              <w:rPr>
                <w:sz w:val="20"/>
                <w:szCs w:val="20"/>
                <w:rtl w:val="0"/>
              </w:rPr>
              <w:t xml:space="preserve">Make connections between biological processes at the organismal, population, and community scales </w:t>
            </w:r>
          </w:p>
        </w:tc>
      </w:tr>
      <w:tr>
        <w:trPr>
          <w:cantSplit w:val="0"/>
          <w:trHeight w:val="268" w:hRule="atLeast"/>
          <w:tblHeader w:val="0"/>
        </w:trPr>
        <w:tc>
          <w:tcPr/>
          <w:p w:rsidR="00000000" w:rsidDel="00000000" w:rsidP="00000000" w:rsidRDefault="00000000" w:rsidRPr="00000000" w14:paraId="0000002C">
            <w:pPr>
              <w:spacing w:line="276" w:lineRule="auto"/>
              <w:rPr>
                <w:b w:val="0"/>
                <w:sz w:val="20"/>
                <w:szCs w:val="20"/>
              </w:rPr>
            </w:pPr>
            <w:r w:rsidDel="00000000" w:rsidR="00000000" w:rsidRPr="00000000">
              <w:rPr>
                <w:b w:val="0"/>
                <w:sz w:val="20"/>
                <w:szCs w:val="20"/>
                <w:rtl w:val="0"/>
              </w:rPr>
              <w:t xml:space="preserve">Literature analysis</w:t>
            </w:r>
          </w:p>
        </w:tc>
        <w:tc>
          <w:tcPr/>
          <w:p w:rsidR="00000000" w:rsidDel="00000000" w:rsidP="00000000" w:rsidRDefault="00000000" w:rsidRPr="00000000" w14:paraId="0000002D">
            <w:pPr>
              <w:spacing w:line="276" w:lineRule="auto"/>
              <w:rPr>
                <w:sz w:val="20"/>
                <w:szCs w:val="20"/>
              </w:rPr>
            </w:pPr>
            <w:r w:rsidDel="00000000" w:rsidR="00000000" w:rsidRPr="00000000">
              <w:rPr>
                <w:sz w:val="20"/>
                <w:szCs w:val="20"/>
                <w:rtl w:val="0"/>
              </w:rPr>
              <w:t xml:space="preserve">Ability to find and use scientific manuscripts related to salinity stress and community assembly</w:t>
            </w:r>
          </w:p>
        </w:tc>
      </w:tr>
      <w:tr>
        <w:trPr>
          <w:cantSplit w:val="0"/>
          <w:trHeight w:val="70" w:hRule="atLeast"/>
          <w:tblHeader w:val="0"/>
        </w:trPr>
        <w:tc>
          <w:tcPr/>
          <w:p w:rsidR="00000000" w:rsidDel="00000000" w:rsidP="00000000" w:rsidRDefault="00000000" w:rsidRPr="00000000" w14:paraId="0000002E">
            <w:pPr>
              <w:spacing w:line="276" w:lineRule="auto"/>
              <w:rPr>
                <w:b w:val="0"/>
                <w:sz w:val="20"/>
                <w:szCs w:val="20"/>
              </w:rPr>
            </w:pPr>
            <w:r w:rsidDel="00000000" w:rsidR="00000000" w:rsidRPr="00000000">
              <w:rPr>
                <w:b w:val="0"/>
                <w:sz w:val="20"/>
                <w:szCs w:val="20"/>
                <w:rtl w:val="0"/>
              </w:rPr>
              <w:t xml:space="preserve">Maintain scientific tools and facilities</w:t>
            </w:r>
          </w:p>
        </w:tc>
        <w:tc>
          <w:tcPr/>
          <w:p w:rsidR="00000000" w:rsidDel="00000000" w:rsidP="00000000" w:rsidRDefault="00000000" w:rsidRPr="00000000" w14:paraId="0000002F">
            <w:pPr>
              <w:spacing w:line="276" w:lineRule="auto"/>
              <w:rPr>
                <w:sz w:val="20"/>
                <w:szCs w:val="20"/>
              </w:rPr>
            </w:pPr>
            <w:r w:rsidDel="00000000" w:rsidR="00000000" w:rsidRPr="00000000">
              <w:rPr>
                <w:sz w:val="20"/>
                <w:szCs w:val="20"/>
                <w:rtl w:val="0"/>
              </w:rPr>
              <w:t xml:space="preserve">Corers, sieves, climate-controlled greenhouse, plant husbandary </w:t>
            </w:r>
          </w:p>
        </w:tc>
      </w:tr>
      <w:tr>
        <w:trPr>
          <w:cantSplit w:val="0"/>
          <w:trHeight w:val="52" w:hRule="atLeast"/>
          <w:tblHeader w:val="0"/>
        </w:trPr>
        <w:tc>
          <w:tcPr/>
          <w:p w:rsidR="00000000" w:rsidDel="00000000" w:rsidP="00000000" w:rsidRDefault="00000000" w:rsidRPr="00000000" w14:paraId="00000030">
            <w:pPr>
              <w:spacing w:line="276" w:lineRule="auto"/>
              <w:rPr>
                <w:b w:val="0"/>
                <w:sz w:val="20"/>
                <w:szCs w:val="20"/>
              </w:rPr>
            </w:pPr>
            <w:r w:rsidDel="00000000" w:rsidR="00000000" w:rsidRPr="00000000">
              <w:rPr>
                <w:b w:val="0"/>
                <w:sz w:val="20"/>
                <w:szCs w:val="20"/>
                <w:rtl w:val="0"/>
              </w:rPr>
              <w:t xml:space="preserve">Recognize simple patterns in research data</w:t>
            </w:r>
          </w:p>
        </w:tc>
        <w:tc>
          <w:tcPr/>
          <w:p w:rsidR="00000000" w:rsidDel="00000000" w:rsidP="00000000" w:rsidRDefault="00000000" w:rsidRPr="00000000" w14:paraId="00000031">
            <w:pPr>
              <w:spacing w:line="276" w:lineRule="auto"/>
              <w:rPr>
                <w:sz w:val="20"/>
                <w:szCs w:val="20"/>
              </w:rPr>
            </w:pPr>
            <w:r w:rsidDel="00000000" w:rsidR="00000000" w:rsidRPr="00000000">
              <w:rPr>
                <w:sz w:val="20"/>
                <w:szCs w:val="20"/>
                <w:rtl w:val="0"/>
              </w:rPr>
              <w:t xml:space="preserve">Comparing biological responses (over time, across gradients) between species, sites, and environmental conditions</w:t>
            </w:r>
          </w:p>
        </w:tc>
      </w:tr>
      <w:tr>
        <w:trPr>
          <w:cantSplit w:val="0"/>
          <w:trHeight w:val="61" w:hRule="atLeast"/>
          <w:tblHeader w:val="0"/>
        </w:trPr>
        <w:tc>
          <w:tcPr/>
          <w:p w:rsidR="00000000" w:rsidDel="00000000" w:rsidP="00000000" w:rsidRDefault="00000000" w:rsidRPr="00000000" w14:paraId="00000032">
            <w:pPr>
              <w:spacing w:line="276" w:lineRule="auto"/>
              <w:rPr>
                <w:b w:val="0"/>
                <w:sz w:val="20"/>
                <w:szCs w:val="20"/>
              </w:rPr>
            </w:pPr>
            <w:r w:rsidDel="00000000" w:rsidR="00000000" w:rsidRPr="00000000">
              <w:rPr>
                <w:b w:val="0"/>
                <w:sz w:val="20"/>
                <w:szCs w:val="20"/>
                <w:rtl w:val="0"/>
              </w:rPr>
              <w:t xml:space="preserve">Build skills in field research</w:t>
            </w:r>
          </w:p>
        </w:tc>
        <w:tc>
          <w:tcPr/>
          <w:p w:rsidR="00000000" w:rsidDel="00000000" w:rsidP="00000000" w:rsidRDefault="00000000" w:rsidRPr="00000000" w14:paraId="00000033">
            <w:pPr>
              <w:spacing w:line="276" w:lineRule="auto"/>
              <w:rPr>
                <w:sz w:val="20"/>
                <w:szCs w:val="20"/>
              </w:rPr>
            </w:pPr>
            <w:r w:rsidDel="00000000" w:rsidR="00000000" w:rsidRPr="00000000">
              <w:rPr>
                <w:sz w:val="20"/>
                <w:szCs w:val="20"/>
                <w:rtl w:val="0"/>
              </w:rPr>
              <w:t xml:space="preserve">Contribute to research at field sites. Learn natural history, plant identification, and ecological survey methods.</w:t>
            </w:r>
          </w:p>
        </w:tc>
      </w:tr>
      <w:tr>
        <w:trPr>
          <w:cantSplit w:val="0"/>
          <w:trHeight w:val="169" w:hRule="atLeast"/>
          <w:tblHeader w:val="0"/>
        </w:trPr>
        <w:tc>
          <w:tcPr/>
          <w:p w:rsidR="00000000" w:rsidDel="00000000" w:rsidP="00000000" w:rsidRDefault="00000000" w:rsidRPr="00000000" w14:paraId="00000034">
            <w:pPr>
              <w:spacing w:line="276" w:lineRule="auto"/>
              <w:rPr>
                <w:b w:val="0"/>
                <w:sz w:val="20"/>
                <w:szCs w:val="20"/>
              </w:rPr>
            </w:pPr>
            <w:r w:rsidDel="00000000" w:rsidR="00000000" w:rsidRPr="00000000">
              <w:rPr>
                <w:b w:val="0"/>
                <w:sz w:val="20"/>
                <w:szCs w:val="20"/>
                <w:rtl w:val="0"/>
              </w:rPr>
              <w:t xml:space="preserve">Analyze research data </w:t>
            </w:r>
          </w:p>
        </w:tc>
        <w:tc>
          <w:tcPr/>
          <w:p w:rsidR="00000000" w:rsidDel="00000000" w:rsidP="00000000" w:rsidRDefault="00000000" w:rsidRPr="00000000" w14:paraId="00000035">
            <w:pPr>
              <w:spacing w:line="276" w:lineRule="auto"/>
              <w:rPr>
                <w:sz w:val="20"/>
                <w:szCs w:val="20"/>
              </w:rPr>
            </w:pPr>
            <w:r w:rsidDel="00000000" w:rsidR="00000000" w:rsidRPr="00000000">
              <w:rPr>
                <w:sz w:val="20"/>
                <w:szCs w:val="20"/>
                <w:rtl w:val="0"/>
              </w:rPr>
              <w:t xml:space="preserve">Excel, R, and instrument-specific software utilization to manipulate and summarize data</w:t>
            </w:r>
          </w:p>
        </w:tc>
      </w:tr>
      <w:tr>
        <w:trPr>
          <w:cantSplit w:val="0"/>
          <w:trHeight w:val="412" w:hRule="atLeast"/>
          <w:tblHeader w:val="0"/>
        </w:trPr>
        <w:tc>
          <w:tcPr/>
          <w:p w:rsidR="00000000" w:rsidDel="00000000" w:rsidP="00000000" w:rsidRDefault="00000000" w:rsidRPr="00000000" w14:paraId="00000036">
            <w:pPr>
              <w:spacing w:line="276" w:lineRule="auto"/>
              <w:rPr>
                <w:b w:val="0"/>
                <w:sz w:val="20"/>
                <w:szCs w:val="20"/>
              </w:rPr>
            </w:pPr>
            <w:r w:rsidDel="00000000" w:rsidR="00000000" w:rsidRPr="00000000">
              <w:rPr>
                <w:b w:val="0"/>
                <w:sz w:val="20"/>
                <w:szCs w:val="20"/>
                <w:rtl w:val="0"/>
              </w:rPr>
              <w:t xml:space="preserve">Understand, apply, and explain scientific concepts and theories</w:t>
            </w:r>
          </w:p>
        </w:tc>
        <w:tc>
          <w:tcPr/>
          <w:p w:rsidR="00000000" w:rsidDel="00000000" w:rsidP="00000000" w:rsidRDefault="00000000" w:rsidRPr="00000000" w14:paraId="00000037">
            <w:pPr>
              <w:spacing w:line="276" w:lineRule="auto"/>
              <w:rPr>
                <w:sz w:val="20"/>
                <w:szCs w:val="20"/>
              </w:rPr>
            </w:pPr>
            <w:r w:rsidDel="00000000" w:rsidR="00000000" w:rsidRPr="00000000">
              <w:rPr>
                <w:sz w:val="20"/>
                <w:szCs w:val="20"/>
                <w:rtl w:val="0"/>
              </w:rPr>
              <w:t xml:space="preserve">Express questions and plan methods for answering them. Learning to communicate results through oral presentations and posters.</w:t>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Prerequisites: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Introductory experience in Excel and R required. Extensive time in the outdoors during summer will be required, and therefore, prior outdoors experience (scientific or professional) is preferred.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Work Environment and Expectations:</w:t>
      </w:r>
      <w:r w:rsidDel="00000000" w:rsidR="00000000" w:rsidRPr="00000000">
        <w:rPr>
          <w:rtl w:val="0"/>
        </w:rPr>
      </w:r>
    </w:p>
    <w:p w:rsidR="00000000" w:rsidDel="00000000" w:rsidP="00000000" w:rsidRDefault="00000000" w:rsidRPr="00000000" w14:paraId="0000003D">
      <w:pPr>
        <w:rPr/>
      </w:pPr>
      <w:r w:rsidDel="00000000" w:rsidR="00000000" w:rsidRPr="00000000">
        <w:rPr>
          <w:u w:val="single"/>
          <w:rtl w:val="0"/>
        </w:rPr>
        <w:t xml:space="preserve">Laboratory environment</w:t>
      </w:r>
      <w:r w:rsidDel="00000000" w:rsidR="00000000" w:rsidRPr="00000000">
        <w:rPr>
          <w:rtl w:val="0"/>
        </w:rPr>
        <w:t xml:space="preserve">:  Coastal ecology lab, Science and Engineering Hall, 6th floor, George Washington University, Washington, DC </w:t>
      </w:r>
    </w:p>
    <w:p w:rsidR="00000000" w:rsidDel="00000000" w:rsidP="00000000" w:rsidRDefault="00000000" w:rsidRPr="00000000" w14:paraId="0000003E">
      <w:pPr>
        <w:rPr/>
      </w:pPr>
      <w:r w:rsidDel="00000000" w:rsidR="00000000" w:rsidRPr="00000000">
        <w:rPr>
          <w:u w:val="single"/>
          <w:rtl w:val="0"/>
        </w:rPr>
        <w:t xml:space="preserve">Field work environment:</w:t>
      </w:r>
      <w:r w:rsidDel="00000000" w:rsidR="00000000" w:rsidRPr="00000000">
        <w:rPr>
          <w:rtl w:val="0"/>
        </w:rPr>
        <w:t xml:space="preserve"> Delmarva Peninsula sites, 2 to 4 hour drive from GWU</w:t>
      </w:r>
    </w:p>
    <w:p w:rsidR="00000000" w:rsidDel="00000000" w:rsidP="00000000" w:rsidRDefault="00000000" w:rsidRPr="00000000" w14:paraId="0000003F">
      <w:pPr>
        <w:rPr>
          <w:u w:val="single"/>
        </w:rPr>
      </w:pPr>
      <w:r w:rsidDel="00000000" w:rsidR="00000000" w:rsidRPr="00000000">
        <w:rPr>
          <w:u w:val="single"/>
          <w:rtl w:val="0"/>
        </w:rPr>
        <w:t xml:space="preserve">Computational environment:</w:t>
      </w:r>
      <w:r w:rsidDel="00000000" w:rsidR="00000000" w:rsidRPr="00000000">
        <w:rPr>
          <w:rtl w:val="0"/>
        </w:rPr>
        <w:t xml:space="preserve"> A lab computer or tablet will be available to the student for shared use.</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internship is full-time, with exact hours and expectations determined between student and mentor. Students will also participate in our Coastal CZ annual team meeting, usually held in June, and bi-weekly Zoom team meetings, and create an end-of-internship poster session.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Stipend:</w:t>
      </w:r>
    </w:p>
    <w:p w:rsidR="00000000" w:rsidDel="00000000" w:rsidP="00000000" w:rsidRDefault="00000000" w:rsidRPr="00000000" w14:paraId="00000044">
      <w:pPr>
        <w:rPr/>
      </w:pPr>
      <w:r w:rsidDel="00000000" w:rsidR="00000000" w:rsidRPr="00000000">
        <w:rPr>
          <w:rtl w:val="0"/>
        </w:rPr>
        <w:t xml:space="preserve">$6,000 - Direct deposit is required. In addition, for undergraduate researchers who do not live locally up to $2,000 per research intern may be available in housing assistance.</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Funding Source:</w:t>
      </w:r>
    </w:p>
    <w:p w:rsidR="00000000" w:rsidDel="00000000" w:rsidP="00000000" w:rsidRDefault="00000000" w:rsidRPr="00000000" w14:paraId="00000047">
      <w:pPr>
        <w:rPr/>
      </w:pPr>
      <w:r w:rsidDel="00000000" w:rsidR="00000000" w:rsidRPr="00000000">
        <w:rPr>
          <w:rtl w:val="0"/>
        </w:rPr>
        <w:t xml:space="preserve">National Science Foundation Coastal Critical Zone Network</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Application deadline:  Friday, February 27, 2025</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How to apply:</w:t>
      </w:r>
      <w:r w:rsidDel="00000000" w:rsidR="00000000" w:rsidRPr="00000000">
        <w:rPr>
          <w:rtl w:val="0"/>
        </w:rPr>
        <w:t xml:space="preserve"> </w:t>
      </w:r>
      <w:hyperlink r:id="rId7">
        <w:r w:rsidDel="00000000" w:rsidR="00000000" w:rsidRPr="00000000">
          <w:rPr>
            <w:color w:val="1155cc"/>
            <w:u w:val="single"/>
            <w:rtl w:val="0"/>
          </w:rPr>
          <w:t xml:space="preserve">https://docs.google.com/forms/d/e/1FAIpQLSei7KPKvywiRJnENc73ZSfBYXsjktfKDOyINcpWPJlSPlM7pA/viewform?usp=header</w:t>
        </w:r>
      </w:hyperlink>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C0B02"/>
    <w:pPr>
      <w:ind w:left="720"/>
      <w:contextualSpacing w:val="1"/>
    </w:pPr>
  </w:style>
  <w:style w:type="character" w:styleId="CommentReference">
    <w:name w:val="annotation reference"/>
    <w:basedOn w:val="DefaultParagraphFont"/>
    <w:uiPriority w:val="99"/>
    <w:semiHidden w:val="1"/>
    <w:unhideWhenUsed w:val="1"/>
    <w:rsid w:val="005355BF"/>
    <w:rPr>
      <w:sz w:val="18"/>
      <w:szCs w:val="18"/>
    </w:rPr>
  </w:style>
  <w:style w:type="paragraph" w:styleId="CommentText">
    <w:name w:val="annotation text"/>
    <w:basedOn w:val="Normal"/>
    <w:link w:val="CommentTextChar"/>
    <w:uiPriority w:val="99"/>
    <w:semiHidden w:val="1"/>
    <w:unhideWhenUsed w:val="1"/>
    <w:rsid w:val="005355BF"/>
  </w:style>
  <w:style w:type="character" w:styleId="CommentTextChar" w:customStyle="1">
    <w:name w:val="Comment Text Char"/>
    <w:basedOn w:val="DefaultParagraphFont"/>
    <w:link w:val="CommentText"/>
    <w:uiPriority w:val="99"/>
    <w:semiHidden w:val="1"/>
    <w:rsid w:val="005355BF"/>
  </w:style>
  <w:style w:type="paragraph" w:styleId="CommentSubject">
    <w:name w:val="annotation subject"/>
    <w:basedOn w:val="CommentText"/>
    <w:next w:val="CommentText"/>
    <w:link w:val="CommentSubjectChar"/>
    <w:uiPriority w:val="99"/>
    <w:semiHidden w:val="1"/>
    <w:unhideWhenUsed w:val="1"/>
    <w:rsid w:val="005355BF"/>
    <w:rPr>
      <w:b w:val="1"/>
      <w:bCs w:val="1"/>
      <w:sz w:val="20"/>
      <w:szCs w:val="20"/>
    </w:rPr>
  </w:style>
  <w:style w:type="character" w:styleId="CommentSubjectChar" w:customStyle="1">
    <w:name w:val="Comment Subject Char"/>
    <w:basedOn w:val="CommentTextChar"/>
    <w:link w:val="CommentSubject"/>
    <w:uiPriority w:val="99"/>
    <w:semiHidden w:val="1"/>
    <w:rsid w:val="005355BF"/>
    <w:rPr>
      <w:b w:val="1"/>
      <w:bCs w:val="1"/>
      <w:sz w:val="20"/>
      <w:szCs w:val="20"/>
    </w:rPr>
  </w:style>
  <w:style w:type="paragraph" w:styleId="BalloonText">
    <w:name w:val="Balloon Text"/>
    <w:basedOn w:val="Normal"/>
    <w:link w:val="BalloonTextChar"/>
    <w:uiPriority w:val="99"/>
    <w:semiHidden w:val="1"/>
    <w:unhideWhenUsed w:val="1"/>
    <w:rsid w:val="005355BF"/>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5355BF"/>
    <w:rPr>
      <w:rFonts w:ascii="Times New Roman" w:cs="Times New Roman" w:hAnsi="Times New Roman"/>
      <w:sz w:val="18"/>
      <w:szCs w:val="18"/>
    </w:rPr>
  </w:style>
  <w:style w:type="table" w:styleId="TableGrid">
    <w:name w:val="Table Grid"/>
    <w:basedOn w:val="TableNormal"/>
    <w:uiPriority w:val="39"/>
    <w:rsid w:val="00887D9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WhiteText" w:customStyle="1">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color="7295d2" w:space="0" w:sz="8" w:themeColor="accent1" w:themeTint="0000BF" w:val="single"/>
      </w:tblBorders>
    </w:tblPr>
    <w:tblStylePr w:type="firstRow">
      <w:pPr>
        <w:spacing w:after="0" w:before="0" w:line="240" w:lineRule="auto"/>
      </w:pPr>
      <w:rPr>
        <w:b w:val="1"/>
        <w:bCs w:val="1"/>
        <w:color w:val="ffffff" w:themeColor="background1"/>
      </w:rPr>
      <w:tblPr/>
      <w:tcPr>
        <w:tc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shd w:color="auto" w:fill="4472c4" w:themeFill="accent1" w:val="clear"/>
      </w:tcPr>
    </w:tblStylePr>
    <w:tblStylePr w:type="lastRow">
      <w:pPr>
        <w:spacing w:after="0" w:before="0" w:line="240" w:lineRule="auto"/>
      </w:pPr>
      <w:rPr>
        <w:b w:val="1"/>
        <w:bCs w:val="1"/>
      </w:rPr>
      <w:tblPr/>
      <w:tcPr>
        <w:tcBorders>
          <w:top w:color="7295d2" w:space="0" w:sz="6" w:themeColor="accent1" w:themeTint="0000BF" w:val="doub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0dbf0" w:themeFill="accent1" w:themeFillTint="00003F" w:val="clear"/>
      </w:tcPr>
    </w:tblStylePr>
    <w:tblStylePr w:type="band1Horz">
      <w:tblPr/>
      <w:tcPr>
        <w:tcBorders>
          <w:insideH w:space="0" w:sz="0" w:val="nil"/>
          <w:insideV w:space="0" w:sz="0" w:val="nil"/>
        </w:tcBorders>
        <w:shd w:color="auto" w:fill="d0dbf0" w:themeFill="accent1" w:themeFillTint="00003F" w:val="clear"/>
      </w:tcPr>
    </w:tblStylePr>
    <w:tblStylePr w:type="band2Horz">
      <w:tblPr/>
      <w:tcPr>
        <w:tcBorders>
          <w:insideH w:space="0" w:sz="0" w:val="nil"/>
          <w:insideV w:space="0" w:sz="0" w:val="nil"/>
        </w:tcBorders>
      </w:tcPr>
    </w:tblStylePr>
  </w:style>
  <w:style w:type="character" w:styleId="Hyperlink">
    <w:name w:val="Hyperlink"/>
    <w:basedOn w:val="DefaultParagraphFont"/>
    <w:uiPriority w:val="99"/>
    <w:unhideWhenUsed w:val="1"/>
    <w:rsid w:val="00733D6A"/>
    <w:rPr>
      <w:color w:val="0000ff"/>
      <w:u w:val="single"/>
    </w:rPr>
  </w:style>
  <w:style w:type="character" w:styleId="FollowedHyperlink">
    <w:name w:val="FollowedHyperlink"/>
    <w:basedOn w:val="DefaultParagraphFont"/>
    <w:uiPriority w:val="99"/>
    <w:semiHidden w:val="1"/>
    <w:unhideWhenUsed w:val="1"/>
    <w:rsid w:val="00733D6A"/>
    <w:rPr>
      <w:color w:val="954f72" w:themeColor="followedHyperlink"/>
      <w:u w:val="single"/>
    </w:rPr>
  </w:style>
  <w:style w:type="paragraph" w:styleId="Header">
    <w:name w:val="header"/>
    <w:basedOn w:val="Normal"/>
    <w:link w:val="HeaderChar"/>
    <w:uiPriority w:val="99"/>
    <w:unhideWhenUsed w:val="1"/>
    <w:rsid w:val="007542D3"/>
    <w:pPr>
      <w:tabs>
        <w:tab w:val="center" w:pos="4680"/>
        <w:tab w:val="right" w:pos="9360"/>
      </w:tabs>
    </w:pPr>
  </w:style>
  <w:style w:type="character" w:styleId="HeaderChar" w:customStyle="1">
    <w:name w:val="Header Char"/>
    <w:basedOn w:val="DefaultParagraphFont"/>
    <w:link w:val="Header"/>
    <w:uiPriority w:val="99"/>
    <w:rsid w:val="007542D3"/>
  </w:style>
  <w:style w:type="paragraph" w:styleId="Footer">
    <w:name w:val="footer"/>
    <w:basedOn w:val="Normal"/>
    <w:link w:val="FooterChar"/>
    <w:uiPriority w:val="99"/>
    <w:unhideWhenUsed w:val="1"/>
    <w:rsid w:val="007542D3"/>
    <w:pPr>
      <w:tabs>
        <w:tab w:val="center" w:pos="4680"/>
        <w:tab w:val="right" w:pos="9360"/>
      </w:tabs>
    </w:pPr>
  </w:style>
  <w:style w:type="character" w:styleId="FooterChar" w:customStyle="1">
    <w:name w:val="Footer Char"/>
    <w:basedOn w:val="DefaultParagraphFont"/>
    <w:link w:val="Footer"/>
    <w:uiPriority w:val="99"/>
    <w:rsid w:val="007542D3"/>
  </w:style>
  <w:style w:type="table" w:styleId="MediumShading1-Accent11" w:customStyle="1">
    <w:name w:val="Medium Shading 1 - Accent 11"/>
    <w:basedOn w:val="TableNormal"/>
    <w:next w:val="MediumShading1-Accent1"/>
    <w:uiPriority w:val="63"/>
    <w:rsid w:val="00D521F0"/>
    <w:rPr>
      <w:rFonts w:eastAsiaTheme="minorEastAsia"/>
      <w:sz w:val="22"/>
      <w:szCs w:val="22"/>
    </w:rPr>
    <w:tblPr>
      <w:tblStyleRowBandSize w:val="1"/>
      <w:tblStyleColBandSize w:val="1"/>
      <w:tbl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color="7295d2" w:space="0" w:sz="8" w:themeColor="accent1" w:themeTint="0000BF" w:val="single"/>
      </w:tblBorders>
    </w:tblPr>
    <w:tblStylePr w:type="firstRow">
      <w:pPr>
        <w:spacing w:after="0" w:before="0" w:line="240" w:lineRule="auto"/>
      </w:pPr>
      <w:rPr>
        <w:b w:val="1"/>
        <w:bCs w:val="1"/>
        <w:color w:val="ffffff" w:themeColor="background1"/>
      </w:rPr>
      <w:tblPr/>
      <w:tcPr>
        <w:tcBorders>
          <w:top w:color="7295d2" w:space="0" w:sz="8" w:themeColor="accent1" w:themeTint="0000BF" w:val="sing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shd w:color="auto" w:fill="4472c4" w:themeFill="accent1" w:val="clear"/>
      </w:tcPr>
    </w:tblStylePr>
    <w:tblStylePr w:type="lastRow">
      <w:pPr>
        <w:spacing w:after="0" w:before="0" w:line="240" w:lineRule="auto"/>
      </w:pPr>
      <w:rPr>
        <w:b w:val="1"/>
        <w:bCs w:val="1"/>
      </w:rPr>
      <w:tblPr/>
      <w:tcPr>
        <w:tcBorders>
          <w:top w:color="7295d2" w:space="0" w:sz="6" w:themeColor="accent1" w:themeTint="0000BF" w:val="double"/>
          <w:left w:color="7295d2" w:space="0" w:sz="8" w:themeColor="accent1" w:themeTint="0000BF" w:val="single"/>
          <w:bottom w:color="7295d2" w:space="0" w:sz="8" w:themeColor="accent1" w:themeTint="0000BF" w:val="single"/>
          <w:right w:color="7295d2"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0dbf0" w:themeFill="accent1" w:themeFillTint="00003F" w:val="clear"/>
      </w:tcPr>
    </w:tblStylePr>
    <w:tblStylePr w:type="band1Horz">
      <w:tblPr/>
      <w:tcPr>
        <w:tcBorders>
          <w:insideH w:space="0" w:sz="0" w:val="nil"/>
          <w:insideV w:space="0" w:sz="0" w:val="nil"/>
        </w:tcBorders>
        <w:shd w:color="auto" w:fill="d0dbf0" w:themeFill="accent1" w:themeFillTint="00003F" w:val="clear"/>
      </w:tcPr>
    </w:tblStylePr>
    <w:tblStylePr w:type="band2Horz">
      <w:tblPr/>
      <w:tcPr>
        <w:tcBorders>
          <w:insideH w:space="0" w:sz="0" w:val="nil"/>
          <w:insideV w:space="0" w:sz="0" w:val="nil"/>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tblStylePr w:type="band1Horz">
      <w:tcPr>
        <w:tcBorders>
          <w:insideH w:color="000000" w:space="0" w:sz="0" w:val="nil"/>
          <w:insideV w:color="000000" w:space="0" w:sz="0" w:val="nil"/>
        </w:tcBorders>
        <w:shd w:fill="d0dcf0" w:val="clear"/>
      </w:tcPr>
    </w:tblStylePr>
    <w:tblStylePr w:type="band1Vert">
      <w:tcPr>
        <w:shd w:fill="d0dcf0" w:val="clear"/>
      </w:tcPr>
    </w:tblStylePr>
    <w:tblStylePr w:type="band2Horz">
      <w:tcPr>
        <w:tcBorders>
          <w:insideH w:color="000000" w:space="0" w:sz="0" w:val="nil"/>
          <w:insideV w:color="000000" w:space="0" w:sz="0" w:val="nil"/>
        </w:tcBorders>
      </w:tcPr>
    </w:tblStylePr>
    <w:tblStylePr w:type="firstCol">
      <w:rPr>
        <w:b w:val="1"/>
      </w:rPr>
    </w:tblStylePr>
    <w:tblStylePr w:type="firstRow">
      <w:pPr>
        <w:spacing w:after="0" w:before="0" w:line="240" w:lineRule="auto"/>
      </w:pPr>
      <w:rPr>
        <w:b w:val="1"/>
        <w:color w:val="ffffff"/>
      </w:rPr>
      <w:tcPr>
        <w:tcBorders>
          <w:top w:color="7295d2" w:space="0" w:sz="8" w:val="single"/>
          <w:left w:color="7295d2" w:space="0" w:sz="8" w:val="single"/>
          <w:bottom w:color="7295d2" w:space="0" w:sz="8" w:val="single"/>
          <w:right w:color="7295d2" w:space="0" w:sz="8" w:val="single"/>
          <w:insideH w:color="000000" w:space="0" w:sz="0" w:val="nil"/>
          <w:insideV w:color="000000" w:space="0" w:sz="0" w:val="nil"/>
        </w:tcBorders>
        <w:shd w:fill="4472c4" w:val="clear"/>
      </w:tcPr>
    </w:tblStylePr>
    <w:tblStylePr w:type="lastCol">
      <w:rPr>
        <w:b w:val="1"/>
      </w:rPr>
    </w:tblStylePr>
    <w:tblStylePr w:type="lastRow">
      <w:pPr>
        <w:spacing w:after="0" w:before="0" w:line="240" w:lineRule="auto"/>
      </w:pPr>
      <w:rPr>
        <w:b w:val="1"/>
      </w:rPr>
      <w:tcPr>
        <w:tcBorders>
          <w:top w:color="7295d2" w:space="0" w:sz="6" w:val="single"/>
          <w:left w:color="7295d2" w:space="0" w:sz="8" w:val="single"/>
          <w:bottom w:color="7295d2" w:space="0" w:sz="8" w:val="single"/>
          <w:right w:color="7295d2" w:space="0" w:sz="8" w:val="single"/>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ei7KPKvywiRJnENc73ZSfBYXsjktfKDOyINcpWPJlSPlM7pA/viewform?usp=h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c8NUtICYSkWV3oUmjZbGvFzOw==">CgMxLjA4AHIhMUJaSE95TWYtLXZKTERicFdYdXFmUWNXcHRxTy1aWVdV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2024-12-11T16:51:00Z</dcterms:created>
  <dc:creator>Joshua Sanchez</dc:creator>
</cp:coreProperties>
</file>